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0" w:after="180"/>
        <w:ind w:hanging="0" w:left="0" w:right="0"/>
        <w:jc w:val="left"/>
        <w:rPr>
          <w:bdr w:val="single" w:sz="18" w:space="7" w:color="CC9900"/>
        </w:rPr>
      </w:pPr>
      <w:r>
        <w:rPr>
          <w:bdr w:val="single" w:sz="18" w:space="7" w:color="CC9900"/>
        </w:rPr>
        <w:t>Checklist welcome kit</w:t>
      </w:r>
    </w:p>
    <w:p>
      <w:pPr>
        <w:pStyle w:val="BodyText"/>
        <w:bidi w:val="0"/>
        <w:spacing w:before="0" w:after="180"/>
        <w:jc w:val="left"/>
        <w:rPr>
          <w:bdr w:val="single" w:sz="18" w:space="7" w:color="CC9900"/>
        </w:rPr>
      </w:pPr>
      <w:r>
        <w:rPr>
          <w:bdr w:val="single" w:sz="18" w:space="7" w:color="CC9900"/>
        </w:rPr>
        <w:t>Recrut</w:t>
      </w:r>
      <w:r>
        <w:rPr>
          <w:b/>
          <w:bdr w:val="single" w:sz="18" w:space="7" w:color="CC9900"/>
        </w:rPr>
        <w:t>Or</w:t>
      </w:r>
    </w:p>
    <w:p>
      <w:pPr>
        <w:pStyle w:val="BodyText"/>
        <w:bidi w:val="0"/>
        <w:spacing w:before="0" w:after="210"/>
        <w:ind w:hanging="0" w:left="0" w:right="0"/>
        <w:jc w:val="left"/>
        <w:rPr>
          <w:color w:val="5B5E68"/>
          <w:sz w:val="20"/>
        </w:rPr>
      </w:pPr>
      <w:r>
        <w:rPr>
          <w:color w:val="5B5E68"/>
          <w:sz w:val="20"/>
        </w:rPr>
        <w:t xml:space="preserve">À préparer </w:t>
      </w:r>
      <w:r>
        <w:rPr>
          <w:b/>
          <w:color w:val="5B5E68"/>
          <w:sz w:val="20"/>
        </w:rPr>
        <w:t>avant</w:t>
      </w:r>
      <w:r>
        <w:rPr>
          <w:color w:val="5B5E68"/>
          <w:sz w:val="20"/>
        </w:rPr>
        <w:t xml:space="preserve"> l'arrivée du nouveau collaborateur, pour un premier jour fluide. Cochez au fur et à mesure.</w:t>
      </w:r>
    </w:p>
    <w:p>
      <w:pPr>
        <w:pStyle w:val="BodyText"/>
        <w:bidi w:val="0"/>
        <w:spacing w:before="0" w:after="240"/>
        <w:ind w:hanging="0" w:left="0" w:right="0"/>
        <w:jc w:val="left"/>
        <w:rPr/>
      </w:pPr>
      <w:r>
        <w:rPr/>
        <w:t>Collaborateur</w:t>
      </w:r>
    </w:p>
    <w:p>
      <w:pPr>
        <w:pStyle w:val="BodyText"/>
        <w:bidi w:val="0"/>
        <w:spacing w:before="0" w:after="240"/>
        <w:jc w:val="left"/>
        <w:rPr/>
      </w:pPr>
      <w:r>
        <w:rPr/>
        <w:t>Poste</w:t>
      </w:r>
    </w:p>
    <w:p>
      <w:pPr>
        <w:pStyle w:val="BodyText"/>
        <w:bidi w:val="0"/>
        <w:spacing w:before="0" w:after="240"/>
        <w:jc w:val="left"/>
        <w:rPr/>
      </w:pPr>
      <w:r>
        <w:rPr/>
        <w:t>Date d'arrivée</w:t>
      </w:r>
    </w:p>
    <w:p>
      <w:pPr>
        <w:pStyle w:val="Heading2"/>
        <w:bidi w:val="0"/>
        <w:jc w:val="left"/>
        <w:rPr/>
      </w:pPr>
      <w:r>
        <w:rPr/>
        <w:t>Poste de travail</w:t>
      </w:r>
    </w:p>
    <w:p>
      <w:pPr>
        <w:pStyle w:val="BodyText"/>
        <w:bidi w:val="0"/>
        <w:spacing w:before="0" w:after="0"/>
        <w:ind w:hanging="0" w:left="0" w:right="0"/>
        <w:jc w:val="left"/>
        <w:rPr>
          <w:sz w:val="21"/>
        </w:rPr>
      </w:pPr>
      <w:r>
        <w:rPr>
          <w:b/>
          <w:sz w:val="21"/>
        </w:rPr>
        <w:t>Poste de travail installé</w:t>
      </w:r>
      <w:r>
        <w:rPr>
          <w:sz w:val="21"/>
        </w:rPr>
        <w:t xml:space="preserve"> — matériel, écran, téléphone.</w:t>
      </w:r>
    </w:p>
    <w:p>
      <w:pPr>
        <w:pStyle w:val="BodyText"/>
        <w:bidi w:val="0"/>
        <w:ind w:hanging="0" w:left="0" w:right="0"/>
        <w:jc w:val="left"/>
        <w:rPr>
          <w:sz w:val="21"/>
        </w:rPr>
      </w:pPr>
      <w:r>
        <w:rPr>
          <w:b/>
          <w:sz w:val="21"/>
        </w:rPr>
        <w:t>Logiciels installés</w:t>
      </w:r>
      <w:r>
        <w:rPr>
          <w:sz w:val="21"/>
        </w:rPr>
        <w:t xml:space="preserve"> — et droits ouverts.</w:t>
      </w:r>
    </w:p>
    <w:p>
      <w:pPr>
        <w:pStyle w:val="Heading2"/>
        <w:bidi w:val="0"/>
        <w:jc w:val="left"/>
        <w:rPr/>
      </w:pPr>
      <w:r>
        <w:rPr/>
        <w:t>Accès &amp; comptes</w:t>
      </w:r>
    </w:p>
    <w:p>
      <w:pPr>
        <w:pStyle w:val="BodyText"/>
        <w:bidi w:val="0"/>
        <w:ind w:hanging="0" w:left="0" w:right="0"/>
        <w:jc w:val="left"/>
        <w:rPr>
          <w:sz w:val="21"/>
        </w:rPr>
      </w:pPr>
      <w:r>
        <w:rPr>
          <w:b/>
          <w:sz w:val="21"/>
        </w:rPr>
        <w:t>Comptes et accès créés</w:t>
      </w:r>
      <w:r>
        <w:rPr>
          <w:sz w:val="21"/>
        </w:rPr>
        <w:t xml:space="preserve"> — e-mail, outils métier, badges, VPN.</w:t>
      </w:r>
    </w:p>
    <w:p>
      <w:pPr>
        <w:pStyle w:val="Heading2"/>
        <w:bidi w:val="0"/>
        <w:jc w:val="left"/>
        <w:rPr/>
      </w:pPr>
      <w:r>
        <w:rPr/>
        <w:t>Accueil &amp; humain</w:t>
      </w:r>
    </w:p>
    <w:p>
      <w:pPr>
        <w:pStyle w:val="BodyText"/>
        <w:bidi w:val="0"/>
        <w:spacing w:before="0" w:after="0"/>
        <w:ind w:hanging="0" w:left="0" w:right="0"/>
        <w:jc w:val="left"/>
        <w:rPr>
          <w:b/>
          <w:sz w:val="21"/>
        </w:rPr>
      </w:pPr>
      <w:r>
        <w:rPr>
          <w:b/>
          <w:sz w:val="21"/>
        </w:rPr>
        <w:t>Référent (buddy) désigné et prévenu.</w:t>
      </w:r>
    </w:p>
    <w:p>
      <w:pPr>
        <w:pStyle w:val="BodyText"/>
        <w:bidi w:val="0"/>
        <w:spacing w:before="0" w:after="0"/>
        <w:ind w:hanging="0" w:left="0" w:right="0"/>
        <w:jc w:val="left"/>
        <w:rPr>
          <w:sz w:val="21"/>
        </w:rPr>
      </w:pPr>
      <w:r>
        <w:rPr>
          <w:b/>
          <w:sz w:val="21"/>
        </w:rPr>
        <w:t>Équipe informée</w:t>
      </w:r>
      <w:r>
        <w:rPr>
          <w:sz w:val="21"/>
        </w:rPr>
        <w:t xml:space="preserve"> — de l'arrivée et du rôle du nouvel arrivant.</w:t>
      </w:r>
    </w:p>
    <w:p>
      <w:pPr>
        <w:pStyle w:val="BodyText"/>
        <w:bidi w:val="0"/>
        <w:spacing w:before="0" w:after="0"/>
        <w:ind w:hanging="0" w:left="0" w:right="0"/>
        <w:jc w:val="left"/>
        <w:rPr>
          <w:sz w:val="21"/>
        </w:rPr>
      </w:pPr>
      <w:r>
        <w:rPr>
          <w:b/>
          <w:sz w:val="21"/>
        </w:rPr>
        <w:t>Agenda de la première semaine planifié</w:t>
      </w:r>
      <w:r>
        <w:rPr>
          <w:sz w:val="21"/>
        </w:rPr>
        <w:t xml:space="preserve"> — rendez-vous, formations, présentations.</w:t>
      </w:r>
    </w:p>
    <w:p>
      <w:pPr>
        <w:pStyle w:val="BodyText"/>
        <w:bidi w:val="0"/>
        <w:spacing w:before="0" w:after="0"/>
        <w:ind w:hanging="0" w:left="0" w:right="0"/>
        <w:jc w:val="left"/>
        <w:rPr>
          <w:sz w:val="21"/>
        </w:rPr>
      </w:pPr>
      <w:r>
        <w:rPr>
          <w:b/>
          <w:sz w:val="21"/>
        </w:rPr>
        <w:t>Livret d'accueil prêt</w:t>
      </w:r>
      <w:r>
        <w:rPr>
          <w:sz w:val="21"/>
        </w:rPr>
        <w:t xml:space="preserve"> — organigramme, plan des locaux, contacts utiles, règles internes.</w:t>
      </w:r>
    </w:p>
    <w:p>
      <w:pPr>
        <w:pStyle w:val="BodyText"/>
        <w:bidi w:val="0"/>
        <w:ind w:hanging="0" w:left="0" w:right="0"/>
        <w:jc w:val="left"/>
        <w:rPr>
          <w:sz w:val="21"/>
        </w:rPr>
      </w:pPr>
      <w:r>
        <w:rPr>
          <w:b/>
          <w:sz w:val="21"/>
        </w:rPr>
        <w:t>Petite attention de bienvenue</w:t>
      </w:r>
      <w:r>
        <w:rPr>
          <w:sz w:val="21"/>
        </w:rPr>
        <w:t xml:space="preserve"> — facultative, mais elle marque.</w:t>
      </w:r>
    </w:p>
    <w:p>
      <w:pPr>
        <w:pStyle w:val="Heading2"/>
        <w:bidi w:val="0"/>
        <w:jc w:val="left"/>
        <w:rPr/>
      </w:pPr>
      <w:r>
        <w:rPr/>
        <w:t>Administratif</w:t>
      </w:r>
    </w:p>
    <w:p>
      <w:pPr>
        <w:pStyle w:val="BodyText"/>
        <w:bidi w:val="0"/>
        <w:spacing w:before="0" w:after="0"/>
        <w:ind w:hanging="0" w:left="0" w:right="0"/>
        <w:jc w:val="left"/>
        <w:rPr>
          <w:sz w:val="21"/>
        </w:rPr>
      </w:pPr>
      <w:r>
        <w:rPr>
          <w:b/>
          <w:sz w:val="21"/>
        </w:rPr>
        <w:t>Point RH calé</w:t>
      </w:r>
      <w:r>
        <w:rPr>
          <w:sz w:val="21"/>
        </w:rPr>
        <w:t xml:space="preserve"> — contrat signé, mutuelle, règlement intérieur.</w:t>
      </w:r>
    </w:p>
    <w:p>
      <w:pPr>
        <w:pStyle w:val="BodyText"/>
        <w:bidi w:val="0"/>
        <w:spacing w:before="210" w:after="283"/>
        <w:ind w:hanging="0" w:left="0" w:right="0"/>
        <w:jc w:val="left"/>
        <w:rPr>
          <w:color w:val="9A9A9A"/>
          <w:sz w:val="16"/>
          <w:bdr w:val="single" w:sz="2" w:space="5" w:color="E5E2DA"/>
        </w:rPr>
      </w:pPr>
      <w:r>
        <w:rPr>
          <w:color w:val="9A9A9A"/>
          <w:sz w:val="16"/>
          <w:bdr w:val="single" w:sz="2" w:space="5" w:color="E5E2DA"/>
        </w:rPr>
        <w:t>Modèle gratuit — RecrutOr, logiciel de recrutementwww.recrutor.fr</w:t>
      </w:r>
    </w:p>
    <w:sectPr>
      <w:type w:val="nextPage"/>
      <w:pgSz w:w="11906" w:h="16838"/>
      <w:pgMar w:left="850" w:right="850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ans">
    <w:altName w:val="Arial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DejaVu Sans;Arial;sans-serif" w:hAnsi="DejaVu Sans;Arial;sans-serif" w:eastAsia="DejaVu Sans;Arial;sans-serif" w:cs="DejaVu Sans;Arial;sans-serif"/>
      <w:color w:val="1F2024"/>
      <w:sz w:val="21"/>
      <w:szCs w:val="21"/>
      <w:lang w:val="fr-FR" w:eastAsia="zh-CN" w:bidi="hi-IN"/>
    </w:rPr>
  </w:style>
  <w:style w:type="paragraph" w:styleId="Heading1">
    <w:name w:val="Heading 1"/>
    <w:basedOn w:val="Titre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Titre"/>
    <w:next w:val="BodyText"/>
    <w:qFormat/>
    <w:pPr>
      <w:pBdr>
        <w:bottom w:val="single" w:sz="2" w:space="2" w:color="E5E2DA"/>
      </w:pBdr>
      <w:spacing w:before="210" w:after="90"/>
      <w:ind w:left="210" w:right="210"/>
      <w:outlineLvl w:val="1"/>
    </w:pPr>
    <w:rPr>
      <w:rFonts w:ascii="Liberation Serif" w:hAnsi="Liberation Serif" w:eastAsia="Noto Serif CJK SC" w:cs="FreeSans"/>
      <w:b/>
      <w:bCs/>
      <w:color w:val="B38600"/>
      <w:sz w:val="22"/>
      <w:szCs w:val="22"/>
    </w:rPr>
  </w:style>
  <w:style w:type="character" w:styleId="Caractresdenotedefin">
    <w:name w:val="Caractères de note de fin"/>
    <w:qFormat/>
    <w:rPr/>
  </w:style>
  <w:style w:type="character" w:styleId="Caractresdenotedebasdepage">
    <w:name w:val="Caractères de note de bas de page"/>
    <w:qFormat/>
    <w:rPr/>
  </w:style>
  <w:style w:type="character" w:styleId="Hyperlink">
    <w:name w:val="Hyperlink"/>
    <w:rPr>
      <w:color w:val="000080"/>
      <w:u w:val="single"/>
    </w:rPr>
  </w:style>
  <w:style w:type="paragraph" w:styleId="Lignehorizontale">
    <w:name w:val="Ligne horizontal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udetableau">
    <w:name w:val="Contenu de tableau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En-tteetpieddepage">
    <w:name w:val="En-tête et pied de page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itre">
    <w:name w:val="Titre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